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FF7B4D" w14:paraId="46F6D0B2" w14:textId="77777777" w:rsidTr="00D84376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5C4B11CD" w14:textId="2215F997" w:rsidR="00FF7B4D" w:rsidRPr="00D84376" w:rsidRDefault="00D84376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D84376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>D</w:t>
            </w:r>
            <w:r w:rsidRPr="00D84376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 xml:space="preserve">ata z DAP DPH </w:t>
            </w:r>
            <w:r w:rsidRPr="00D84376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 xml:space="preserve">- </w:t>
            </w:r>
            <w:r w:rsidRPr="00D84376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>3.Q 2023–2.Q 2025</w:t>
            </w:r>
            <w:r w:rsidRPr="00D84376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 xml:space="preserve"> (84/25)</w:t>
            </w:r>
          </w:p>
        </w:tc>
      </w:tr>
      <w:tr w:rsidR="00FF7B4D" w14:paraId="3956745D" w14:textId="77777777" w:rsidTr="00D84376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6A8E2734" w14:textId="77777777" w:rsidR="00FF7B4D" w:rsidRPr="00D8437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D84376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Žádost:</w:t>
            </w:r>
          </w:p>
        </w:tc>
        <w:tc>
          <w:tcPr>
            <w:tcW w:w="6992" w:type="dxa"/>
          </w:tcPr>
          <w:p w14:paraId="6A82DC9D" w14:textId="77777777" w:rsidR="00FF7B4D" w:rsidRPr="00D84376" w:rsidRDefault="00FF7B4D">
            <w:pPr>
              <w:rPr>
                <w:sz w:val="24"/>
              </w:rPr>
            </w:pPr>
          </w:p>
        </w:tc>
      </w:tr>
      <w:tr w:rsidR="00FF7B4D" w14:paraId="4F6C4521" w14:textId="77777777" w:rsidTr="00D84376">
        <w:trPr>
          <w:trHeight w:hRule="exact" w:val="100"/>
        </w:trPr>
        <w:tc>
          <w:tcPr>
            <w:tcW w:w="10717" w:type="dxa"/>
            <w:gridSpan w:val="2"/>
          </w:tcPr>
          <w:p w14:paraId="44BADAE4" w14:textId="77777777" w:rsidR="00FF7B4D" w:rsidRPr="00D84376" w:rsidRDefault="00FF7B4D">
            <w:pPr>
              <w:rPr>
                <w:sz w:val="24"/>
              </w:rPr>
            </w:pPr>
          </w:p>
        </w:tc>
      </w:tr>
      <w:tr w:rsidR="00FF7B4D" w14:paraId="5A52282D" w14:textId="77777777" w:rsidTr="00D84376">
        <w:trPr>
          <w:trHeight w:hRule="exact" w:val="1863"/>
        </w:trPr>
        <w:tc>
          <w:tcPr>
            <w:tcW w:w="10717" w:type="dxa"/>
            <w:gridSpan w:val="2"/>
            <w:vMerge w:val="restart"/>
            <w:shd w:val="clear" w:color="auto" w:fill="auto"/>
            <w:tcMar>
              <w:left w:w="72" w:type="dxa"/>
              <w:right w:w="72" w:type="dxa"/>
            </w:tcMar>
          </w:tcPr>
          <w:p w14:paraId="07A4D6D6" w14:textId="77777777" w:rsidR="00FF7B4D" w:rsidRPr="00D84376" w:rsidRDefault="00FF7B4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9D28D08" w14:textId="77777777" w:rsidR="00FF7B4D" w:rsidRPr="00D8437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84376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poskytnout data z daňových přiznání k dani z přidané hodnoty, a to za jednotlivá čtvrtletí od 3. čtvrtletí 2023 až po 2. čtvrtletí 2025. </w:t>
            </w:r>
          </w:p>
          <w:p w14:paraId="7D795C12" w14:textId="77777777" w:rsidR="00FF7B4D" w:rsidRPr="00D84376" w:rsidRDefault="00FF7B4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3CE1B85" w14:textId="77777777" w:rsidR="00FF7B4D" w:rsidRPr="00D8437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84376">
              <w:rPr>
                <w:rFonts w:ascii="Arial" w:eastAsia="Arial" w:hAnsi="Arial" w:cs="Arial"/>
                <w:b/>
                <w:color w:val="201F1E"/>
                <w:spacing w:val="-2"/>
                <w:sz w:val="22"/>
                <w:szCs w:val="22"/>
              </w:rPr>
              <w:t>Část okruhu údajů 1.1. - věřitel</w:t>
            </w:r>
          </w:p>
          <w:p w14:paraId="05029643" w14:textId="77777777" w:rsidR="00FF7B4D" w:rsidRPr="00D84376" w:rsidRDefault="00FF7B4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F4B2CC1" w14:textId="77777777" w:rsidR="00FF7B4D" w:rsidRPr="00D8437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84376">
              <w:rPr>
                <w:rFonts w:ascii="Arial" w:eastAsia="Arial" w:hAnsi="Arial" w:cs="Arial"/>
                <w:color w:val="201F1E"/>
                <w:spacing w:val="-2"/>
                <w:sz w:val="22"/>
                <w:szCs w:val="22"/>
              </w:rPr>
              <w:t>-          počet daňových přiznání, ve kterých je ř. 33 nenulový,</w:t>
            </w:r>
          </w:p>
          <w:p w14:paraId="1200CC98" w14:textId="77777777" w:rsidR="00FF7B4D" w:rsidRPr="00D84376" w:rsidRDefault="00FF7B4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3B5ACF3" w14:textId="77777777" w:rsidR="00FF7B4D" w:rsidRPr="00D8437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84376">
              <w:rPr>
                <w:rFonts w:ascii="Arial" w:eastAsia="Arial" w:hAnsi="Arial" w:cs="Arial"/>
                <w:color w:val="201F1E"/>
                <w:spacing w:val="-2"/>
                <w:sz w:val="22"/>
                <w:szCs w:val="22"/>
              </w:rPr>
              <w:t>-          počet daňových subjektů, které podaly uvedená daňová přiznání, ve kterých je ř. 33 nenulový,</w:t>
            </w:r>
          </w:p>
          <w:p w14:paraId="2BB8B5ED" w14:textId="77777777" w:rsidR="00FF7B4D" w:rsidRPr="00D84376" w:rsidRDefault="00FF7B4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8282228" w14:textId="77777777" w:rsidR="00FF7B4D" w:rsidRPr="00D8437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84376">
              <w:rPr>
                <w:rFonts w:ascii="Arial" w:eastAsia="Arial" w:hAnsi="Arial" w:cs="Arial"/>
                <w:color w:val="201F1E"/>
                <w:spacing w:val="-2"/>
                <w:sz w:val="22"/>
                <w:szCs w:val="22"/>
              </w:rPr>
              <w:t>-          údaje, které jsou obsaženy v ř. 33 Věřitel – Oprava daně a oprava odpočtu daně v případě nedobytné pohledávky nebo pohledávky po splatnosti (§ 46 a násl., resp. § 74b) (dříve Oprava daně v případě nedobytné pohledávky nebo Oprava výše daně u pohledávek za dlužníky v insolvenčním řízení), v Kč (tzn. částku v Kč).</w:t>
            </w:r>
          </w:p>
          <w:p w14:paraId="66B3494C" w14:textId="77777777" w:rsidR="00FF7B4D" w:rsidRPr="00D84376" w:rsidRDefault="00FF7B4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70FD09D" w14:textId="77777777" w:rsidR="00FF7B4D" w:rsidRPr="00D8437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84376">
              <w:rPr>
                <w:rFonts w:ascii="Arial" w:eastAsia="Arial" w:hAnsi="Arial" w:cs="Arial"/>
                <w:color w:val="201F1E"/>
                <w:spacing w:val="-2"/>
                <w:sz w:val="22"/>
                <w:szCs w:val="22"/>
              </w:rPr>
              <w:t> </w:t>
            </w:r>
            <w:r w:rsidRPr="00D84376">
              <w:rPr>
                <w:rFonts w:ascii="Arial" w:eastAsia="Arial" w:hAnsi="Arial" w:cs="Arial"/>
                <w:b/>
                <w:color w:val="201F1E"/>
                <w:spacing w:val="-2"/>
                <w:sz w:val="22"/>
                <w:szCs w:val="22"/>
              </w:rPr>
              <w:t>Část okruhu údajů 1.2. – dlužník</w:t>
            </w:r>
          </w:p>
          <w:p w14:paraId="04C2CF03" w14:textId="77777777" w:rsidR="00FF7B4D" w:rsidRPr="00D84376" w:rsidRDefault="00FF7B4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08C4D81" w14:textId="77777777" w:rsidR="00FF7B4D" w:rsidRPr="00D8437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84376">
              <w:rPr>
                <w:rFonts w:ascii="Arial" w:eastAsia="Arial" w:hAnsi="Arial" w:cs="Arial"/>
                <w:color w:val="201F1E"/>
                <w:spacing w:val="-2"/>
                <w:sz w:val="22"/>
                <w:szCs w:val="22"/>
              </w:rPr>
              <w:t>-          počet daňových přiznání, ve kterých je ř. 34 nenulový,</w:t>
            </w:r>
          </w:p>
          <w:p w14:paraId="6186162B" w14:textId="77777777" w:rsidR="00FF7B4D" w:rsidRPr="00D84376" w:rsidRDefault="00FF7B4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00D5452" w14:textId="77777777" w:rsidR="00FF7B4D" w:rsidRPr="00D8437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84376">
              <w:rPr>
                <w:rFonts w:ascii="Arial" w:eastAsia="Arial" w:hAnsi="Arial" w:cs="Arial"/>
                <w:color w:val="201F1E"/>
                <w:spacing w:val="-2"/>
                <w:sz w:val="22"/>
                <w:szCs w:val="22"/>
              </w:rPr>
              <w:t>-          počet daňových subjektů, které podaly uvedená daňová přiznání, ve kterých je ř. 34 nenulový,</w:t>
            </w:r>
          </w:p>
          <w:p w14:paraId="4A68D2C9" w14:textId="77777777" w:rsidR="00FF7B4D" w:rsidRPr="00D84376" w:rsidRDefault="00FF7B4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26B52BF" w14:textId="77777777" w:rsidR="00FF7B4D" w:rsidRPr="00D8437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84376">
              <w:rPr>
                <w:rFonts w:ascii="Arial" w:eastAsia="Arial" w:hAnsi="Arial" w:cs="Arial"/>
                <w:color w:val="201F1E"/>
                <w:spacing w:val="-2"/>
                <w:sz w:val="22"/>
                <w:szCs w:val="22"/>
              </w:rPr>
              <w:t xml:space="preserve">-          údaje, které jsou obsaženy v ř. 34 </w:t>
            </w:r>
            <w:proofErr w:type="gramStart"/>
            <w:r w:rsidRPr="00D84376">
              <w:rPr>
                <w:rFonts w:ascii="Arial" w:eastAsia="Arial" w:hAnsi="Arial" w:cs="Arial"/>
                <w:color w:val="201F1E"/>
                <w:spacing w:val="-2"/>
                <w:sz w:val="22"/>
                <w:szCs w:val="22"/>
              </w:rPr>
              <w:t>Dlužník - Oprava</w:t>
            </w:r>
            <w:proofErr w:type="gramEnd"/>
            <w:r w:rsidRPr="00D84376">
              <w:rPr>
                <w:rFonts w:ascii="Arial" w:eastAsia="Arial" w:hAnsi="Arial" w:cs="Arial"/>
                <w:color w:val="201F1E"/>
                <w:spacing w:val="-2"/>
                <w:sz w:val="22"/>
                <w:szCs w:val="22"/>
              </w:rPr>
              <w:t xml:space="preserve"> daně a oprava odpočtu daně v případě nedobytné pohledávky nebo pohledávky po splatnosti (§ 46 a násl., resp. § 74b) (dříve Oprava daně v případě nedobytné pohledávky nebo Oprava výše daně u pohledávek za dlužníky v insolvenčním řízení), v Kč (tzn. částku v Kč).</w:t>
            </w:r>
            <w:r w:rsidRPr="00D84376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</w:p>
        </w:tc>
      </w:tr>
      <w:tr w:rsidR="00FF7B4D" w14:paraId="4507D4E2" w14:textId="77777777" w:rsidTr="00D84376">
        <w:trPr>
          <w:trHeight w:hRule="exact" w:val="5251"/>
        </w:trPr>
        <w:tc>
          <w:tcPr>
            <w:tcW w:w="10717" w:type="dxa"/>
            <w:gridSpan w:val="2"/>
            <w:vMerge/>
            <w:shd w:val="clear" w:color="auto" w:fill="auto"/>
          </w:tcPr>
          <w:p w14:paraId="1CDC286E" w14:textId="77777777" w:rsidR="00FF7B4D" w:rsidRPr="00D84376" w:rsidRDefault="00FF7B4D">
            <w:pPr>
              <w:rPr>
                <w:sz w:val="24"/>
              </w:rPr>
            </w:pPr>
          </w:p>
        </w:tc>
      </w:tr>
      <w:tr w:rsidR="00FF7B4D" w14:paraId="3353BDED" w14:textId="77777777" w:rsidTr="00D84376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381A707A" w14:textId="77777777" w:rsidR="00FF7B4D" w:rsidRPr="00D8437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D84376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Odpověď:</w:t>
            </w:r>
          </w:p>
        </w:tc>
        <w:tc>
          <w:tcPr>
            <w:tcW w:w="6992" w:type="dxa"/>
          </w:tcPr>
          <w:p w14:paraId="6959C126" w14:textId="77777777" w:rsidR="00FF7B4D" w:rsidRPr="00D84376" w:rsidRDefault="00FF7B4D">
            <w:pPr>
              <w:rPr>
                <w:sz w:val="24"/>
              </w:rPr>
            </w:pPr>
          </w:p>
        </w:tc>
      </w:tr>
      <w:tr w:rsidR="00FF7B4D" w14:paraId="483E405F" w14:textId="77777777" w:rsidTr="00D84376">
        <w:trPr>
          <w:trHeight w:hRule="exact" w:val="100"/>
        </w:trPr>
        <w:tc>
          <w:tcPr>
            <w:tcW w:w="10717" w:type="dxa"/>
            <w:gridSpan w:val="2"/>
          </w:tcPr>
          <w:p w14:paraId="2EA9EEE3" w14:textId="77777777" w:rsidR="00FF7B4D" w:rsidRPr="00D84376" w:rsidRDefault="00FF7B4D">
            <w:pPr>
              <w:rPr>
                <w:sz w:val="24"/>
              </w:rPr>
            </w:pPr>
          </w:p>
        </w:tc>
      </w:tr>
      <w:tr w:rsidR="00FF7B4D" w14:paraId="28407B31" w14:textId="77777777" w:rsidTr="00D84376">
        <w:trPr>
          <w:trHeight w:hRule="exact" w:val="673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7386869" w14:textId="77777777" w:rsidR="00FF7B4D" w:rsidRPr="00D84376" w:rsidRDefault="00FF7B4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</w:p>
          <w:p w14:paraId="6A0A4D33" w14:textId="77777777" w:rsidR="00FF7B4D" w:rsidRPr="00D84376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D84376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</w:t>
            </w:r>
          </w:p>
        </w:tc>
      </w:tr>
    </w:tbl>
    <w:p w14:paraId="7F27F1A0" w14:textId="77777777" w:rsidR="00AE5EE0" w:rsidRDefault="00AE5EE0"/>
    <w:sectPr w:rsidR="00AE5EE0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4D"/>
    <w:rsid w:val="00AE5EE0"/>
    <w:rsid w:val="00C2388F"/>
    <w:rsid w:val="00D84376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8A862"/>
  <w15:docId w15:val="{5DD87982-8346-4941-874D-2D122F1C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1112</Characters>
  <Application>Microsoft Office Word</Application>
  <DocSecurity>0</DocSecurity>
  <Lines>9</Lines>
  <Paragraphs>2</Paragraphs>
  <ScaleCrop>false</ScaleCrop>
  <Company>Stimulsoft Reports.JS 2024.2.6 from 2024.05.20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2025-10-13T12:33:00Z</dcterms:created>
  <dcterms:modified xsi:type="dcterms:W3CDTF">2025-10-13T12:33:00Z</dcterms:modified>
  <cp:contentStatus>Netscape * Mozilla/5.0 (Windows NT 10.0; Win64; x64) AppleWebKit/537.36 (KHTML, like Gecko) Chrome/140.0.0.0 Safari/537.36 Edg/140.0.0.0</cp:contentStatus>
</cp:coreProperties>
</file>